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</w:pPr>
      <w:bookmarkStart w:id="0" w:name="OLE_LINK1"/>
      <w:bookmarkStart w:id="1" w:name="OLE_LINK5"/>
      <w:bookmarkStart w:id="5" w:name="_GoBack"/>
      <w:r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  <w:t>越南商务签证所需材料</w:t>
      </w:r>
      <w:bookmarkEnd w:id="0"/>
      <w:r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  <w:t>(</w:t>
      </w:r>
      <w:r>
        <w:rPr>
          <w:rFonts w:hint="eastAsia" w:ascii="Arial" w:hAnsi="Arial" w:eastAsia="黑体" w:cstheme="minorBidi"/>
          <w:b/>
          <w:color w:val="FF0000"/>
          <w:kern w:val="2"/>
          <w:sz w:val="32"/>
          <w:szCs w:val="24"/>
          <w:lang w:val="en-US" w:eastAsia="zh-CN" w:bidi="ar-SA"/>
        </w:rPr>
        <w:t>一年多次</w:t>
      </w:r>
      <w:r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  <w:t>)</w:t>
      </w:r>
    </w:p>
    <w:p>
      <w:pPr>
        <w:jc w:val="center"/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</w:pP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越南商务签证有90天单次、90天多次、半年多次和一年多次之分，其区别主要是有效期和停留期不同。越南一年多次商务签证适合于一年内多次到越南商务办公人员。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签证类型：商务签证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有效期限：1年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停留期限：以使馆签发为主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入境次数：多次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default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建议办理时间：</w:t>
      </w:r>
      <w:r>
        <w:rPr>
          <w:rFonts w:hint="default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出发前20天。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="0" w:leftChars="0" w:right="0" w:rightChars="0" w:firstLine="0" w:firstLine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黑体" w:hAnsi="黑体" w:eastAsia="黑体" w:cs="黑体"/>
          <w:b/>
          <w:bCs/>
          <w:color w:val="auto"/>
          <w:kern w:val="2"/>
          <w:sz w:val="28"/>
          <w:szCs w:val="28"/>
          <w:vertAlign w:val="baseline"/>
          <w:lang w:val="en-US" w:eastAsia="zh-CN" w:bidi="zh-CN"/>
        </w:rPr>
        <w:t>所需材料:</w:t>
      </w:r>
    </w:p>
    <w:tbl>
      <w:tblPr>
        <w:tblStyle w:val="8"/>
        <w:tblpPr w:leftFromText="180" w:rightFromText="180" w:vertAnchor="text" w:horzAnchor="page" w:tblpXSpec="center" w:tblpY="318"/>
        <w:tblOverlap w:val="never"/>
        <w:tblW w:w="892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59"/>
        <w:gridCol w:w="2664"/>
        <w:gridCol w:w="339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  <w:jc w:val="center"/>
        </w:trPr>
        <w:tc>
          <w:tcPr>
            <w:tcW w:w="2859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签发对象</w:t>
            </w:r>
          </w:p>
        </w:tc>
        <w:tc>
          <w:tcPr>
            <w:tcW w:w="2664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所需材料</w:t>
            </w:r>
          </w:p>
        </w:tc>
        <w:tc>
          <w:tcPr>
            <w:tcW w:w="3397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6" w:hRule="atLeast"/>
          <w:jc w:val="center"/>
        </w:trPr>
        <w:tc>
          <w:tcPr>
            <w:tcW w:w="2859" w:type="dxa"/>
            <w:vMerge w:val="restart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发给一年多次来越南从事投资、贸易、会议、展览、售后指导等方面事宜的人员</w:t>
            </w:r>
          </w:p>
        </w:tc>
        <w:tc>
          <w:tcPr>
            <w:tcW w:w="2664" w:type="dxa"/>
            <w:textDirection w:val="lrTb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因私护照 (扫描件)</w:t>
            </w:r>
          </w:p>
        </w:tc>
        <w:tc>
          <w:tcPr>
            <w:tcW w:w="3397" w:type="dxa"/>
            <w:textDirection w:val="lrTb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•护照首页信息页清晰彩色扫描件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•护照完整无破损、无水渍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bookmarkStart w:id="2" w:name="OLE_LINK3"/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</w:t>
            </w:r>
            <w:bookmarkEnd w:id="2"/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有效期离行程结束后至少有6个月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•护照空白位置注明准确出行日期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•至少有两页完整连续的空白页，不包含备注页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2" w:hRule="atLeast"/>
          <w:jc w:val="center"/>
        </w:trPr>
        <w:tc>
          <w:tcPr>
            <w:tcW w:w="2859" w:type="dxa"/>
            <w:vMerge w:val="continue"/>
            <w:tcBorders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</w:tc>
        <w:tc>
          <w:tcPr>
            <w:tcW w:w="2664" w:type="dxa"/>
            <w:textDirection w:val="lrTb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照片 (扫描件)</w:t>
            </w:r>
          </w:p>
        </w:tc>
        <w:tc>
          <w:tcPr>
            <w:tcW w:w="3397" w:type="dxa"/>
            <w:textDirection w:val="lrTb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•彩色扫描件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•规格：35mmX45mm 长方形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bookmarkStart w:id="3" w:name="OLE_LINK4"/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</w:t>
            </w:r>
            <w:bookmarkEnd w:id="3"/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白色背景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6" w:hRule="atLeast"/>
          <w:jc w:val="center"/>
        </w:trPr>
        <w:tc>
          <w:tcPr>
            <w:tcW w:w="2859" w:type="dxa"/>
            <w:vMerge w:val="continue"/>
            <w:tcBorders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</w:tc>
        <w:tc>
          <w:tcPr>
            <w:tcW w:w="2664" w:type="dxa"/>
            <w:textDirection w:val="lrTb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商务批文</w:t>
            </w:r>
          </w:p>
        </w:tc>
        <w:tc>
          <w:tcPr>
            <w:tcW w:w="3397" w:type="dxa"/>
            <w:textDirection w:val="lrTb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•越南移民局出具的商务签证批文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0000"/>
                <w:kern w:val="2"/>
                <w:sz w:val="21"/>
                <w:szCs w:val="21"/>
                <w:vertAlign w:val="baseline"/>
                <w:lang w:val="en-US" w:eastAsia="zh-CN" w:bidi="zh-CN"/>
              </w:rPr>
              <w:t>（如没有可不提供，我们为您代办）</w:t>
            </w:r>
          </w:p>
        </w:tc>
      </w:tr>
    </w:tbl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/>
          <w:bCs/>
          <w:color w:val="FF0000"/>
          <w:kern w:val="2"/>
          <w:sz w:val="21"/>
          <w:szCs w:val="21"/>
          <w:vertAlign w:val="baseline"/>
          <w:lang w:val="en-US" w:eastAsia="zh-CN" w:bidi="zh-CN"/>
        </w:rPr>
      </w:pPr>
      <w:bookmarkStart w:id="4" w:name="OLE_LINK2"/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/>
          <w:bCs/>
          <w:color w:val="FF0000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/>
          <w:bCs/>
          <w:color w:val="FF0000"/>
          <w:kern w:val="2"/>
          <w:sz w:val="21"/>
          <w:szCs w:val="21"/>
          <w:vertAlign w:val="baseline"/>
          <w:lang w:val="en-US" w:eastAsia="zh-CN" w:bidi="zh-CN"/>
        </w:rPr>
        <w:t>特别提示：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="0"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商务签证持有者不得在越南从事盈利性的工作,且应该在签证有效期之内离开该国家。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办理越南商务签证提供电子材料即可，</w:t>
      </w:r>
      <w:r>
        <w:rPr>
          <w:rStyle w:val="6"/>
          <w:rFonts w:hint="eastAsia" w:ascii="微软雅黑" w:hAnsi="微软雅黑" w:eastAsia="微软雅黑" w:cs="微软雅黑"/>
          <w:i w:val="0"/>
          <w:caps w:val="0"/>
          <w:color w:val="4C33E5"/>
          <w:spacing w:val="0"/>
          <w:sz w:val="21"/>
          <w:szCs w:val="21"/>
          <w:shd w:val="clear" w:fill="FFFFFF"/>
          <w:lang w:val="en-US" w:eastAsia="zh-CN"/>
        </w:rPr>
        <w:t>无需邮寄或亲自递送材料。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right="0" w:rightChars="0"/>
        <w:textAlignment w:val="auto"/>
        <w:outlineLvl w:val="9"/>
        <w:rPr>
          <w:rStyle w:val="6"/>
          <w:rFonts w:hint="eastAsia" w:ascii="微软雅黑" w:hAnsi="微软雅黑" w:eastAsia="微软雅黑" w:cs="微软雅黑"/>
          <w:i w:val="0"/>
          <w:caps w:val="0"/>
          <w:color w:val="4C33E5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  <w:t>3.</w:t>
      </w:r>
      <w:r>
        <w:rPr>
          <w:rFonts w:ascii="微软雅黑" w:hAnsi="微软雅黑" w:eastAsia="微软雅黑" w:cs="微软雅黑"/>
          <w:b w:val="0"/>
          <w:i w:val="0"/>
          <w:caps w:val="0"/>
          <w:color w:val="000000"/>
          <w:spacing w:val="0"/>
          <w:sz w:val="21"/>
          <w:szCs w:val="21"/>
          <w:shd w:val="clear" w:fill="FFFFFF"/>
        </w:rPr>
        <w:t>越南签证为另纸签证，即签证被签发在护照以外单独一张专用纸上，</w:t>
      </w:r>
      <w:r>
        <w:rPr>
          <w:rStyle w:val="6"/>
          <w:rFonts w:hint="eastAsia" w:ascii="微软雅黑" w:hAnsi="微软雅黑" w:eastAsia="微软雅黑" w:cs="微软雅黑"/>
          <w:i w:val="0"/>
          <w:caps w:val="0"/>
          <w:color w:val="4C33E5"/>
          <w:spacing w:val="0"/>
          <w:sz w:val="21"/>
          <w:szCs w:val="21"/>
          <w:shd w:val="clear" w:fill="FFFFFF"/>
          <w:lang w:val="en-US" w:eastAsia="zh-CN"/>
        </w:rPr>
        <w:t xml:space="preserve">需随护照原件一同使用。 </w:t>
      </w:r>
    </w:p>
    <w:bookmarkEnd w:id="4"/>
    <w:p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4.</w:t>
      </w: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如若没有批文，我们可同事为您代办批文和签证，签证办理时间会长一些，费用相对较高。</w:t>
      </w:r>
    </w:p>
    <w:bookmarkEnd w:id="1"/>
    <w:p>
      <w:pPr>
        <w:jc w:val="center"/>
        <w:rPr>
          <w:rFonts w:hint="eastAsia" w:eastAsiaTheme="minorEastAsia"/>
          <w:lang w:eastAsia="zh-CN"/>
        </w:rPr>
      </w:pPr>
    </w:p>
    <w:bookmarkEnd w:id="5"/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等线 Light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兰亭超细黑简体">
    <w:altName w:val="黑体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微软雅黑 Light">
    <w:altName w:val="黑体"/>
    <w:panose1 w:val="020B0502040204020203"/>
    <w:charset w:val="86"/>
    <w:family w:val="auto"/>
    <w:pitch w:val="default"/>
    <w:sig w:usb0="00000000" w:usb1="00000000" w:usb2="00000016" w:usb3="00000000" w:csb0="0004000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Dotum">
    <w:panose1 w:val="020B0600000101010101"/>
    <w:charset w:val="81"/>
    <w:family w:val="auto"/>
    <w:pitch w:val="default"/>
    <w:sig w:usb0="B00002AF" w:usb1="69D77CFB" w:usb2="00000030" w:usb3="00000000" w:csb0="4008009F" w:csb1="DFD70000"/>
  </w:font>
  <w:font w:name="새굴림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Gulim">
    <w:panose1 w:val="020B0600000101010101"/>
    <w:charset w:val="81"/>
    <w:family w:val="auto"/>
    <w:pitch w:val="default"/>
    <w:sig w:usb0="B00002AF" w:usb1="69D77CFB" w:usb2="00000030" w:usb3="00000000" w:csb0="4008009F" w:csb1="DFD70000"/>
  </w:font>
  <w:font w:name="Batang">
    <w:panose1 w:val="02030600000101010101"/>
    <w:charset w:val="81"/>
    <w:family w:val="auto"/>
    <w:pitch w:val="default"/>
    <w:sig w:usb0="B00002AF" w:usb1="69D77CFB" w:usb2="00000030" w:usb3="00000000" w:csb0="4008009F" w:csb1="DFD7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叶根友毛笔行书2.0版">
    <w:altName w:val="宋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Helvetica Neu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-476250</wp:posOffset>
          </wp:positionH>
          <wp:positionV relativeFrom="paragraph">
            <wp:posOffset>-333375</wp:posOffset>
          </wp:positionV>
          <wp:extent cx="1152525" cy="714375"/>
          <wp:effectExtent l="0" t="0" r="9525" b="0"/>
          <wp:wrapThrough wrapText="bothSides">
            <wp:wrapPolygon>
              <wp:start x="1785" y="2880"/>
              <wp:lineTo x="0" y="5760"/>
              <wp:lineTo x="0" y="20160"/>
              <wp:lineTo x="21421" y="20160"/>
              <wp:lineTo x="21421" y="2880"/>
              <wp:lineTo x="4641" y="2880"/>
              <wp:lineTo x="1785" y="2880"/>
            </wp:wrapPolygon>
          </wp:wrapThrough>
          <wp:docPr id="1" name="图片 1" descr="未标题-1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未标题-1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12B2B2"/>
    <w:multiLevelType w:val="singleLevel"/>
    <w:tmpl w:val="5912B2B2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C884B7D"/>
    <w:rsid w:val="222E7D18"/>
    <w:rsid w:val="29EC51F5"/>
    <w:rsid w:val="2B7D42BB"/>
    <w:rsid w:val="2FBB725E"/>
    <w:rsid w:val="37654BD7"/>
    <w:rsid w:val="768B1E2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7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table" w:styleId="8">
    <w:name w:val="Table Grid"/>
    <w:basedOn w:val="7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  <w:tcPr>
      <w:textDirection w:val="lrTb"/>
    </w:tc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Office_10.1.0.6527_F1E327BC-269C-435d-A152-05C5408002CA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Administrator.WIN-01504011822</dc:creator>
  <cp:lastModifiedBy>Administrator</cp:lastModifiedBy>
  <dcterms:modified xsi:type="dcterms:W3CDTF">2017-07-13T06:20:07Z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2052-10.1.0.6527</vt:lpwstr>
  </property>
</Properties>
</file>