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越南旅游电子签证所需材料</w:t>
      </w:r>
      <w:bookmarkEnd w:id="0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(</w:t>
      </w:r>
      <w:r>
        <w:rPr>
          <w:rFonts w:hint="eastAsia" w:ascii="Arial" w:hAnsi="Arial" w:eastAsia="黑体" w:cstheme="minorBidi"/>
          <w:b/>
          <w:color w:val="FF0000"/>
          <w:kern w:val="2"/>
          <w:sz w:val="32"/>
          <w:szCs w:val="24"/>
          <w:lang w:val="en-US" w:eastAsia="zh-CN" w:bidi="ar-SA"/>
        </w:rPr>
        <w:t>30天单次</w:t>
      </w: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)</w:t>
      </w:r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越南30天旅游电子签证签发给</w:t>
      </w:r>
      <w:bookmarkStart w:id="1" w:name="OLE_LINK6"/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短期到越南旅游观光人员</w:t>
      </w:r>
      <w:bookmarkEnd w:id="1"/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，有效期和停留期均为30天。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签证类型：旅游电子签证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有效期限：30天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停留期限：30天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出发前20天。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7"/>
        <w:tblpPr w:leftFromText="180" w:rightFromText="180" w:vertAnchor="text" w:horzAnchor="page" w:tblpXSpec="center" w:tblpY="318"/>
        <w:tblOverlap w:val="never"/>
        <w:tblW w:w="89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9"/>
        <w:gridCol w:w="2664"/>
        <w:gridCol w:w="33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2859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664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3397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6" w:hRule="atLeast"/>
          <w:jc w:val="center"/>
        </w:trPr>
        <w:tc>
          <w:tcPr>
            <w:tcW w:w="2859" w:type="dxa"/>
            <w:vMerge w:val="restart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短期到越南旅游观光人员</w:t>
            </w:r>
          </w:p>
        </w:tc>
        <w:tc>
          <w:tcPr>
            <w:tcW w:w="2664" w:type="dxa"/>
            <w:textDirection w:val="lrTb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(扫描件)</w:t>
            </w:r>
          </w:p>
        </w:tc>
        <w:tc>
          <w:tcPr>
            <w:tcW w:w="3397" w:type="dxa"/>
            <w:textDirection w:val="lrTb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•护照首页信息页清晰彩色扫描件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•护照完整无破损、无水渍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bookmarkStart w:id="2" w:name="OLE_LINK3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bookmarkEnd w:id="2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有效期离行程结束后至少有6个月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•护照空白位置注明准确出行日期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bookmarkStart w:id="3" w:name="OLE_LINK5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bookmarkEnd w:id="3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  <w:jc w:val="center"/>
        </w:trPr>
        <w:tc>
          <w:tcPr>
            <w:tcW w:w="2859" w:type="dxa"/>
            <w:vMerge w:val="continue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664" w:type="dxa"/>
            <w:textDirection w:val="lrTb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(电子版)</w:t>
            </w:r>
          </w:p>
        </w:tc>
        <w:tc>
          <w:tcPr>
            <w:tcW w:w="3397" w:type="dxa"/>
            <w:textDirection w:val="lrTb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•彩色电子版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•规格：35mmX45mm 长方形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bookmarkStart w:id="4" w:name="OLE_LINK4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bookmarkEnd w:id="4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白色背景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•五官端正清晰，眼睛睁开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5" w:name="OLE_LINK2"/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旅游签证持有者不得在越南商务等活动。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办理越南旅游电子签证提供电子材料即可，</w:t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  <w:t>无需邮寄或亲自递送材料。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Style w:val="5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3.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越南签证为另纸签证，即签证被签发在护照以外单独一张专用纸上，</w:t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  <w:t xml:space="preserve">需随护照原件一同使用。 </w:t>
      </w:r>
    </w:p>
    <w:bookmarkEnd w:id="5"/>
    <w:p>
      <w:pPr>
        <w:pStyle w:val="3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4.受理中国大陆地区签发的护照，护照号码需是G开头，如是E开头暂无法受理。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5.电子签证有口岸要求，目前接受电子签证持有者入境口岸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共有28个</w:t>
      </w:r>
    </w:p>
    <w:p>
      <w:pPr>
        <w:jc w:val="center"/>
        <w:rPr>
          <w:rFonts w:hint="eastAsia" w:eastAsiaTheme="minorEastAsia"/>
          <w:lang w:eastAsia="zh-CN"/>
        </w:rPr>
      </w:pPr>
    </w:p>
    <w:p>
      <w:bookmarkStart w:id="6" w:name="_GoBack"/>
      <w:bookmarkEnd w:id="6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-476250</wp:posOffset>
          </wp:positionH>
          <wp:positionV relativeFrom="paragraph">
            <wp:posOffset>-333375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421" y="20160"/>
              <wp:lineTo x="21421" y="2880"/>
              <wp:lineTo x="4641" y="2880"/>
              <wp:lineTo x="1785" y="2880"/>
            </wp:wrapPolygon>
          </wp:wrapThrough>
          <wp:docPr id="1" name="图片 1" descr="未标题-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未标题-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2B2B2"/>
    <w:multiLevelType w:val="singleLevel"/>
    <w:tmpl w:val="5912B2B2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752330"/>
    <w:rsid w:val="457523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2017-07-13T06:20:00Z</dcterms:created>
  <dc:creator>Administrator</dc:creator>
  <cp:lastModifiedBy>Administrator</cp:lastModifiedBy>
  <dcterms:modified xsi:type="dcterms:W3CDTF">2017-07-13T06:37:26Z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2052-10.1.0.6527</vt:lpwstr>
  </property>
</Properties>
</file>