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越南落地签证所需材料</w:t>
      </w:r>
      <w:bookmarkEnd w:id="0"/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越南落地签证适用于时间紧急或其他紧急原因急需入境越南人员。签证申请需备齐材料，入境后向移民局出示准签信及以下签证材料申请签证。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Helvetica Neue" w:hAnsi="Helvetica Neue" w:eastAsia="Helvetica Neue" w:cs="Helvetica Neue"/>
          <w:b w:val="0"/>
          <w:i w:val="0"/>
          <w:caps w:val="0"/>
          <w:color w:val="636363"/>
          <w:spacing w:val="0"/>
          <w:sz w:val="21"/>
          <w:szCs w:val="21"/>
          <w:shd w:val="clear" w:fill="FFFFFF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签证类型：电子签证</w:t>
      </w:r>
      <w:bookmarkStart w:id="3" w:name="_GoBack"/>
      <w:bookmarkEnd w:id="3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</w:t>
      </w:r>
      <w:bookmarkStart w:id="1" w:name="OLE_LINK3"/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30天或90天</w:t>
      </w:r>
      <w:bookmarkEnd w:id="1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停留期限：30天或90天（签证的生效日期为签证申请表格上的入境日期，可自行选择）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入境次数：单次或多次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建议办理时间：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出发前20天。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8"/>
        <w:tblpPr w:leftFromText="180" w:rightFromText="180" w:vertAnchor="text" w:horzAnchor="page" w:tblpXSpec="center" w:tblpY="318"/>
        <w:tblOverlap w:val="never"/>
        <w:tblW w:w="89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9"/>
        <w:gridCol w:w="2664"/>
        <w:gridCol w:w="33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41" w:hRule="atLeast"/>
          <w:jc w:val="center"/>
        </w:trPr>
        <w:tc>
          <w:tcPr>
            <w:tcW w:w="2859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664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3397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886" w:hRule="atLeast"/>
          <w:jc w:val="center"/>
        </w:trPr>
        <w:tc>
          <w:tcPr>
            <w:tcW w:w="2859" w:type="dxa"/>
            <w:vMerge w:val="restart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发给来越南从事投资、贸易、会议、展览、售后指导等方面事宜的人员</w:t>
            </w:r>
          </w:p>
        </w:tc>
        <w:tc>
          <w:tcPr>
            <w:tcW w:w="2664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个人信息表 </w:t>
            </w:r>
          </w:p>
        </w:tc>
        <w:tc>
          <w:tcPr>
            <w:tcW w:w="3397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•真实完整填写（出行时间真实，填写的联系电话需保持畅通），并由本人中文签字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•如实填写出行日期，该日期即为签证生效日期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2" w:hRule="atLeast"/>
          <w:jc w:val="center"/>
        </w:trPr>
        <w:tc>
          <w:tcPr>
            <w:tcW w:w="2859" w:type="dxa"/>
            <w:vMerge w:val="continue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664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(扫描件)</w:t>
            </w:r>
          </w:p>
        </w:tc>
        <w:tc>
          <w:tcPr>
            <w:tcW w:w="3397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•护照首页信息页清晰彩色扫描件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•护照完整无破损、无水渍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•有效期离行程结束后至少有6个月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•至少有两页完整连续的空白页，不包含备注页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6" w:hRule="atLeast"/>
          <w:jc w:val="center"/>
        </w:trPr>
        <w:tc>
          <w:tcPr>
            <w:tcW w:w="2859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664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(扫描件)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3397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•彩色扫描件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•不可与护照首页照片相同，如相同，可能导致无法入境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•规格：35mmX45mm 长方形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•白色背景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•照片摆放在护照首页信息页空白地方，或直接摆放在护照原有照片位置，拍照或彩色扫描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2" w:name="OLE_LINK2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办理越南电子签证需在入境口岸签发，申请者需提前准备好签证材料及费用。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如果是从第三国(非中国大陆)入境越南，且入境口岸为河内内排国际机场、胡志明新山一国际机场、岘港国际机场之一，可以选择电子落地(口岸)签证。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越南落地签证是有条件要求的，只有满足条件才可申请。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越南口岸签等待时间比较长，也存在拒签的风险，如若没有特殊情况建议申请越南普通签证。</w:t>
      </w:r>
    </w:p>
    <w:bookmarkEnd w:id="2"/>
    <w:p/>
    <w:p>
      <w:pPr>
        <w:jc w:val="center"/>
        <w:rPr>
          <w:rFonts w:hint="eastAsia" w:eastAsiaTheme="minorEastAsia"/>
          <w:lang w:eastAsia="zh-CN"/>
        </w:rPr>
      </w:pPr>
    </w:p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-561975</wp:posOffset>
          </wp:positionH>
          <wp:positionV relativeFrom="paragraph">
            <wp:posOffset>-314325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421" y="20160"/>
              <wp:lineTo x="21421" y="2880"/>
              <wp:lineTo x="4641" y="2880"/>
              <wp:lineTo x="1785" y="2880"/>
            </wp:wrapPolygon>
          </wp:wrapThrough>
          <wp:docPr id="1" name="图片 1" descr="未标题-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未标题-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2B2B2"/>
    <w:multiLevelType w:val="singleLevel"/>
    <w:tmpl w:val="5912B2B2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3234D1"/>
    <w:rsid w:val="7C88248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Administrator</cp:lastModifiedBy>
  <dcterms:modified xsi:type="dcterms:W3CDTF">2017-05-19T06:15:34Z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