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越南商务签证所需材料</w:t>
      </w:r>
      <w:bookmarkEnd w:id="0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(</w:t>
      </w:r>
      <w:r>
        <w:rPr>
          <w:rFonts w:hint="eastAsia" w:ascii="Arial" w:hAnsi="Arial" w:eastAsia="黑体" w:cstheme="minorBidi"/>
          <w:b/>
          <w:color w:val="FF0000"/>
          <w:kern w:val="2"/>
          <w:sz w:val="32"/>
          <w:szCs w:val="24"/>
          <w:lang w:val="en-US" w:eastAsia="zh-CN" w:bidi="ar-SA"/>
        </w:rPr>
        <w:t>90天多次</w:t>
      </w: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)</w:t>
      </w:r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越南商务签证适用于企业或单位出访者前往目的地国家</w:t>
      </w:r>
      <w:bookmarkStart w:id="3" w:name="_GoBack"/>
      <w:bookmarkStart w:id="1" w:name="OLE_LINK3"/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从事投资、贸易、会议、展览、售后指导等方面事宜</w:t>
      </w:r>
      <w:bookmarkEnd w:id="1"/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。签证申请需备齐材料后，通过越南驻</w:t>
      </w:r>
      <w:bookmarkEnd w:id="3"/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华使领馆或代办社办理。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Helvetica Neue" w:hAnsi="Helvetica Neue" w:eastAsia="Helvetica Neue" w:cs="Helvetica Neue"/>
          <w:b w:val="0"/>
          <w:i w:val="0"/>
          <w:caps w:val="0"/>
          <w:color w:val="636363"/>
          <w:spacing w:val="0"/>
          <w:sz w:val="21"/>
          <w:szCs w:val="21"/>
          <w:shd w:val="clear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签证类型：旅游签证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有效期限：90天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停留期限：90天（签证的生效日期为签证申请表格上的入境日期，可自行选择，从该生效期起，90天内有效）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入境次数：多次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8"/>
        <w:tblpPr w:leftFromText="180" w:rightFromText="180" w:vertAnchor="text" w:horzAnchor="page" w:tblpXSpec="center" w:tblpY="318"/>
        <w:tblOverlap w:val="never"/>
        <w:tblW w:w="89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9"/>
        <w:gridCol w:w="2664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1" w:hRule="atLeast"/>
          <w:jc w:val="center"/>
        </w:trPr>
        <w:tc>
          <w:tcPr>
            <w:tcW w:w="2859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886" w:hRule="atLeast"/>
          <w:jc w:val="center"/>
        </w:trPr>
        <w:tc>
          <w:tcPr>
            <w:tcW w:w="2859" w:type="dxa"/>
            <w:vMerge w:val="restart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发给来越南从事投资、贸易、会议、展览、售后指导等方面事宜的人员</w:t>
            </w: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个人信息表 </w:t>
            </w: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•真实完整填写（出行时间真实，填写的联系电话需保持畅通），并由本人中文签字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•如实填写出行日期，该日期即为签证生效日期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2" w:hRule="atLeast"/>
          <w:jc w:val="center"/>
        </w:trPr>
        <w:tc>
          <w:tcPr>
            <w:tcW w:w="2859" w:type="dxa"/>
            <w:vMerge w:val="continue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664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(扫描件)</w:t>
            </w:r>
          </w:p>
        </w:tc>
        <w:tc>
          <w:tcPr>
            <w:tcW w:w="3397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•护照首页信息页清晰彩色扫描件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6" w:hRule="atLeast"/>
          <w:jc w:val="center"/>
        </w:trPr>
        <w:tc>
          <w:tcPr>
            <w:tcW w:w="2859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664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(扫描件)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3397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•彩色扫描件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•不可与护照首页照片相同，如相同，可能导致无法入境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•照片摆放在护照首页信息页空白地方，或直接摆放在护照原有照片位置，拍照或彩色扫描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2" w:name="OLE_LINK2"/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商务签证持有者不得在越南从事盈利性的工作,且应该在签证有效期之内离开该国家。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办理越南商务签证提供电子材料即可，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>无需邮寄或亲自递送材料。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3.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越南签证为另纸签证，即签证被签发在护照以外单独一张专用纸上，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 xml:space="preserve">需随护照原件一同使用。 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4.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办理商务签证的申请人在提出申请时,需要有足够的商务理由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来证明他去某国访问是真实的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没有任何不良意图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而签证官则需要此类签证的申请人提供足够的证据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证明他去某国确实有商务的需要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</w:p>
    <w:bookmarkEnd w:id="2"/>
    <w:p/>
    <w:p>
      <w:pPr>
        <w:jc w:val="center"/>
        <w:rPr>
          <w:rFonts w:hint="eastAsia" w:eastAsiaTheme="minorEastAsia"/>
          <w:lang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-476250</wp:posOffset>
          </wp:positionH>
          <wp:positionV relativeFrom="paragraph">
            <wp:posOffset>-333375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421" y="20160"/>
              <wp:lineTo x="21421" y="2880"/>
              <wp:lineTo x="4641" y="2880"/>
              <wp:lineTo x="1785" y="2880"/>
            </wp:wrapPolygon>
          </wp:wrapThrough>
          <wp:docPr id="1" name="图片 1" descr="未标题-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未标题-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2B2B2"/>
    <w:multiLevelType w:val="singleLevel"/>
    <w:tmpl w:val="5912B2B2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884B7D"/>
    <w:rsid w:val="222E7D18"/>
    <w:rsid w:val="2FBB725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2017-05-19T06:17:45Z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